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87" w:rsidRDefault="00D22874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Hello and t</w:t>
      </w:r>
      <w:r w:rsidR="00F54387">
        <w:rPr>
          <w:rFonts w:ascii="ArialMT" w:cs="ArialMT"/>
        </w:rPr>
        <w:t>hank you so much for the opportunity to tell you about my new organization called "FORE The</w:t>
      </w:r>
      <w:r>
        <w:rPr>
          <w:rFonts w:ascii="ArialMT" w:cs="ArialMT"/>
        </w:rPr>
        <w:t xml:space="preserve"> </w:t>
      </w:r>
      <w:r w:rsidR="00F54387">
        <w:rPr>
          <w:rFonts w:ascii="ArialMT" w:cs="ArialMT"/>
        </w:rPr>
        <w:t>Cure" Mini Golf Tournament to end MS (Multiple Sclerosis)!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Four facts about MS you might not know: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1. No one knows what the cause- there is nothing to indicate MS can be inherited or has a direct cause.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2. It's incredible hard to diagnosis- only full body/brain MRIs can find lesions in the brain and spinal cord.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3. Symptoms can disappear and reappear without warning</w:t>
      </w:r>
      <w:r w:rsidR="001929E7">
        <w:rPr>
          <w:rFonts w:ascii="ArialMT" w:cs="ArialMT"/>
        </w:rPr>
        <w:t>-</w:t>
      </w:r>
      <w:r>
        <w:rPr>
          <w:rFonts w:ascii="ArialMT" w:cs="ArialMT"/>
        </w:rPr>
        <w:t xml:space="preserve"> flare up or exacerbation can range from mild to severe.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4. There is no cure for MS...YET.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After being diagnosed with Multiple Sclerosis on September 23, 2015 I became consumed with a desire to help others with MS by raising money to go toward finding a cure.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9B7E83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 xml:space="preserve">I developed the </w:t>
      </w:r>
      <w:r w:rsidR="00F54387">
        <w:rPr>
          <w:rFonts w:ascii="ArialMT" w:cs="ArialMT" w:hint="cs"/>
        </w:rPr>
        <w:t>‘</w:t>
      </w:r>
      <w:r w:rsidR="00F54387">
        <w:rPr>
          <w:rFonts w:ascii="ArialMT" w:cs="ArialMT"/>
        </w:rPr>
        <w:t>FORE</w:t>
      </w:r>
      <w:r w:rsidR="00F54387">
        <w:rPr>
          <w:rFonts w:ascii="ArialMT" w:cs="ArialMT" w:hint="cs"/>
        </w:rPr>
        <w:t>’</w:t>
      </w:r>
      <w:r w:rsidR="00F54387">
        <w:rPr>
          <w:rFonts w:ascii="ArialMT" w:cs="ArialMT"/>
        </w:rPr>
        <w:t xml:space="preserve"> t</w:t>
      </w:r>
      <w:r>
        <w:rPr>
          <w:rFonts w:ascii="ArialMT" w:cs="ArialMT"/>
        </w:rPr>
        <w:t>he Cure MS Mini Golf Tournament.</w:t>
      </w:r>
      <w:r w:rsidR="00F54387">
        <w:rPr>
          <w:rFonts w:ascii="ArialMT" w:cs="ArialMT"/>
        </w:rPr>
        <w:t xml:space="preserve"> </w:t>
      </w:r>
      <w:r w:rsidR="00A225A0">
        <w:rPr>
          <w:rFonts w:ascii="ArialMT" w:cs="ArialMT"/>
        </w:rPr>
        <w:t>A</w:t>
      </w:r>
      <w:r w:rsidR="00F54387">
        <w:rPr>
          <w:rFonts w:ascii="ArialMT" w:cs="ArialMT"/>
        </w:rPr>
        <w:t xml:space="preserve"> tournament of teams of four will compete for prizes such as cash, trips, and other gifts. Teams will register with an entry fee that will go towards MS research.</w:t>
      </w:r>
      <w:r w:rsidR="00094C6F">
        <w:rPr>
          <w:rFonts w:ascii="ArialMT" w:cs="ArialMT"/>
        </w:rPr>
        <w:t xml:space="preserve"> </w:t>
      </w:r>
      <w:r>
        <w:rPr>
          <w:rFonts w:ascii="ArialMT" w:cs="ArialMT"/>
        </w:rPr>
        <w:t xml:space="preserve">The first annual FORE the Cure tournament will be held on Saturday Oct 8, 2016 at Grand Old Golf in Nashville, TN. 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9B7E83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We are extending a hand to you in hopes of creating a partnership with you</w:t>
      </w:r>
      <w:r w:rsidR="004F0384">
        <w:rPr>
          <w:rFonts w:ascii="ArialMT" w:cs="ArialMT"/>
        </w:rPr>
        <w:t xml:space="preserve"> establishment through</w:t>
      </w:r>
      <w:r>
        <w:rPr>
          <w:rFonts w:ascii="ArialMT" w:cs="ArialMT"/>
        </w:rPr>
        <w:t xml:space="preserve"> an ongoing sponsorship toward other events. </w:t>
      </w:r>
      <w:r w:rsidR="00D30B41">
        <w:rPr>
          <w:rFonts w:ascii="ArialMT" w:cs="ArialMT"/>
        </w:rPr>
        <w:t>All</w:t>
      </w:r>
      <w:r w:rsidR="00F54387">
        <w:rPr>
          <w:rFonts w:ascii="ArialMT" w:cs="ArialMT"/>
        </w:rPr>
        <w:t xml:space="preserve"> funding will go towards course rental costs (usually about $350/hour) and tournament prizes. </w:t>
      </w:r>
      <w:r w:rsidR="004F0384">
        <w:rPr>
          <w:rFonts w:ascii="ArialMT" w:cs="ArialMT"/>
        </w:rPr>
        <w:t>The sponsorship tier is as follows:</w:t>
      </w:r>
    </w:p>
    <w:p w:rsidR="004F0384" w:rsidRDefault="004F0384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4F0384" w:rsidRDefault="004F0384" w:rsidP="004F03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Par Tier $100-500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Name recognition in all media relations; such as radio, prints, and press release.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 xml:space="preserve">Name recognition on </w:t>
      </w:r>
      <w:r w:rsidRPr="004F0384">
        <w:rPr>
          <w:rFonts w:ascii="ArialMT" w:cs="ArialMT"/>
        </w:rPr>
        <w:t>all promotion items; such as banner, advertisements, flyers, t-shirts, promotional items, etc.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(4) Tickets to event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(4) FORE the Cure! Apparel (T-Shirts, Sweatshirts)</w:t>
      </w:r>
    </w:p>
    <w:p w:rsidR="004F0384" w:rsidRDefault="004F0384" w:rsidP="004F038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MT" w:cs="ArialMT"/>
        </w:rPr>
      </w:pPr>
    </w:p>
    <w:p w:rsidR="004F0384" w:rsidRDefault="004F0384" w:rsidP="004F03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Birdie Tier $501-1000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Additional advertisi</w:t>
      </w:r>
      <w:r w:rsidRPr="004F0384">
        <w:rPr>
          <w:rFonts w:ascii="ArialMT" w:cs="ArialMT"/>
        </w:rPr>
        <w:t>ng at the event; including 10</w:t>
      </w:r>
      <w:r w:rsidRPr="004F0384">
        <w:rPr>
          <w:rFonts w:ascii="ArialMT" w:cs="ArialMT"/>
        </w:rPr>
        <w:t>’</w:t>
      </w:r>
      <w:r w:rsidRPr="004F0384">
        <w:rPr>
          <w:rFonts w:ascii="ArialMT" w:cs="ArialMT"/>
        </w:rPr>
        <w:t xml:space="preserve"> x 10</w:t>
      </w:r>
      <w:r w:rsidRPr="004F0384">
        <w:rPr>
          <w:rFonts w:ascii="ArialMT" w:cs="ArialMT"/>
        </w:rPr>
        <w:t>’</w:t>
      </w:r>
      <w:r w:rsidRPr="004F0384">
        <w:rPr>
          <w:rFonts w:ascii="ArialMT" w:cs="ArialMT"/>
        </w:rPr>
        <w:t xml:space="preserve"> table, two (2) employees present for outreach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Name recognition in all media relations; such as radio, prints, and press release.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Name recognition on all promotion items; such as banner, advertisements, flyers, t-shirt</w:t>
      </w:r>
      <w:r w:rsidRPr="004F0384">
        <w:rPr>
          <w:rFonts w:ascii="ArialMT" w:cs="ArialMT"/>
        </w:rPr>
        <w:t>s, promotional items, etc.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Two minute presentation and recognition at the event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Decision rights on prize and name recognition on prize (i.e. [Prize] generously provided by [Company Name.])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 xml:space="preserve">Admin access to FORE the Cure! Facebook, Twitter, and Instagram </w:t>
      </w:r>
      <w:r w:rsidRPr="004F0384">
        <w:rPr>
          <w:rFonts w:ascii="ArialMT" w:cs="ArialMT"/>
        </w:rPr>
        <w:t>page for two (2) promotional or advertisement per month.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(6) Tickets to event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(6) FORE the Cure! Apparel (T-Shirts, Sweatshirts)</w:t>
      </w:r>
    </w:p>
    <w:p w:rsidR="004F0384" w:rsidRDefault="004F0384" w:rsidP="004F038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MT" w:cs="ArialMT"/>
        </w:rPr>
      </w:pPr>
    </w:p>
    <w:p w:rsidR="004F0384" w:rsidRDefault="004F0384" w:rsidP="004F03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lastRenderedPageBreak/>
        <w:t>Eagle Tier $1001-2000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Additional advertising at the event; including 15</w:t>
      </w:r>
      <w:r w:rsidRPr="004F0384">
        <w:rPr>
          <w:rFonts w:ascii="ArialMT" w:cs="ArialMT"/>
        </w:rPr>
        <w:t>’</w:t>
      </w:r>
      <w:r w:rsidRPr="004F0384">
        <w:rPr>
          <w:rFonts w:ascii="ArialMT" w:cs="ArialMT"/>
        </w:rPr>
        <w:t xml:space="preserve"> x 15</w:t>
      </w:r>
      <w:r w:rsidRPr="004F0384">
        <w:rPr>
          <w:rFonts w:ascii="ArialMT" w:cs="ArialMT"/>
        </w:rPr>
        <w:t>’</w:t>
      </w:r>
      <w:r w:rsidRPr="004F0384">
        <w:rPr>
          <w:rFonts w:ascii="ArialMT" w:cs="ArialMT"/>
        </w:rPr>
        <w:t xml:space="preserve"> table, three (3) employees present for outreach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Name recognition in all media relations; such as radio, prints, and press release.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 xml:space="preserve">Name recognition on </w:t>
      </w:r>
      <w:r w:rsidRPr="004F0384">
        <w:rPr>
          <w:rFonts w:ascii="ArialMT" w:cs="ArialMT"/>
        </w:rPr>
        <w:t>all promotion items; such as banner, advertisements, flyers, t-shirts, promotional items, etc.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Three minute presentation and recognition at the event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Decision rights on prize and name recognition on prize (i.e. [Prize] generously provided by [Company Nam</w:t>
      </w:r>
      <w:r w:rsidRPr="004F0384">
        <w:rPr>
          <w:rFonts w:ascii="ArialMT" w:cs="ArialMT"/>
        </w:rPr>
        <w:t>e.])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Admin access to FORE the Cure! Facebook, Twitter, and Instagram page for four (4) promotional or advertisements per month.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Name recognition in newsletter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(8) Tickets to event</w:t>
      </w:r>
    </w:p>
    <w:p w:rsidR="00000000" w:rsidRPr="004F0384" w:rsidRDefault="004F0384" w:rsidP="004F038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MT" w:cs="ArialMT"/>
        </w:rPr>
      </w:pPr>
      <w:r w:rsidRPr="004F0384">
        <w:rPr>
          <w:rFonts w:ascii="ArialMT" w:cs="ArialMT"/>
        </w:rPr>
        <w:t>(8) FORE the Cure! Apparel (T-Shirts, Sweatshirts)</w:t>
      </w:r>
    </w:p>
    <w:p w:rsidR="004F0384" w:rsidRDefault="004F0384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4F0384" w:rsidRDefault="004F0384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 xml:space="preserve">I hope you will help me find a cure "FORE" MS. 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895534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Thank you,</w:t>
      </w:r>
    </w:p>
    <w:p w:rsid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Lindsay Gillard</w:t>
      </w:r>
    </w:p>
    <w:p w:rsidR="00F54387" w:rsidRDefault="0087387B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hyperlink r:id="rId5" w:history="1">
        <w:r w:rsidR="00F54387" w:rsidRPr="00200684">
          <w:rPr>
            <w:rStyle w:val="Hyperlink"/>
            <w:rFonts w:ascii="ArialMT" w:cs="ArialMT"/>
          </w:rPr>
          <w:t>forethecure@gmail.com</w:t>
        </w:r>
      </w:hyperlink>
    </w:p>
    <w:p w:rsidR="00F54387" w:rsidRPr="00F54387" w:rsidRDefault="00F54387" w:rsidP="00F5438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615-624-9028</w:t>
      </w:r>
    </w:p>
    <w:sectPr w:rsidR="00F54387" w:rsidRPr="00F54387" w:rsidSect="0089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982"/>
    <w:multiLevelType w:val="hybridMultilevel"/>
    <w:tmpl w:val="15720564"/>
    <w:lvl w:ilvl="0" w:tplc="30E87F2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4925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22A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043D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211B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4C3F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A2B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4585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E625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D86F50"/>
    <w:multiLevelType w:val="hybridMultilevel"/>
    <w:tmpl w:val="47DC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D1B5F"/>
    <w:multiLevelType w:val="hybridMultilevel"/>
    <w:tmpl w:val="7DE2DC90"/>
    <w:lvl w:ilvl="0" w:tplc="3572B35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228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8086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2E84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EA26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C005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E6E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2910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2116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B92DB4"/>
    <w:multiLevelType w:val="hybridMultilevel"/>
    <w:tmpl w:val="1ED65CEC"/>
    <w:lvl w:ilvl="0" w:tplc="6722E4E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24886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4B3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E84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A4A8C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405F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60D4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A8AB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A91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387"/>
    <w:rsid w:val="00012CD5"/>
    <w:rsid w:val="000164BE"/>
    <w:rsid w:val="00021AF0"/>
    <w:rsid w:val="0006474F"/>
    <w:rsid w:val="0008114E"/>
    <w:rsid w:val="000851B4"/>
    <w:rsid w:val="00094C6F"/>
    <w:rsid w:val="000F251C"/>
    <w:rsid w:val="00125B02"/>
    <w:rsid w:val="00131AF7"/>
    <w:rsid w:val="00161019"/>
    <w:rsid w:val="00172B72"/>
    <w:rsid w:val="00175164"/>
    <w:rsid w:val="001929E7"/>
    <w:rsid w:val="001B51AF"/>
    <w:rsid w:val="001C1DCB"/>
    <w:rsid w:val="001D6553"/>
    <w:rsid w:val="001F1525"/>
    <w:rsid w:val="001F43ED"/>
    <w:rsid w:val="002268A1"/>
    <w:rsid w:val="00230698"/>
    <w:rsid w:val="0023349B"/>
    <w:rsid w:val="002467FA"/>
    <w:rsid w:val="00263184"/>
    <w:rsid w:val="0028720B"/>
    <w:rsid w:val="002A032D"/>
    <w:rsid w:val="002B192D"/>
    <w:rsid w:val="00373BEC"/>
    <w:rsid w:val="003C4678"/>
    <w:rsid w:val="003D0B35"/>
    <w:rsid w:val="003E0823"/>
    <w:rsid w:val="003E2F13"/>
    <w:rsid w:val="003F4A01"/>
    <w:rsid w:val="003F52B6"/>
    <w:rsid w:val="003F762C"/>
    <w:rsid w:val="00414CA6"/>
    <w:rsid w:val="00422120"/>
    <w:rsid w:val="00425A21"/>
    <w:rsid w:val="0047481A"/>
    <w:rsid w:val="004956A6"/>
    <w:rsid w:val="004C3E21"/>
    <w:rsid w:val="004D64A3"/>
    <w:rsid w:val="004E4A8E"/>
    <w:rsid w:val="004F0384"/>
    <w:rsid w:val="00510EB3"/>
    <w:rsid w:val="0051364D"/>
    <w:rsid w:val="00531774"/>
    <w:rsid w:val="005640A8"/>
    <w:rsid w:val="00567CAA"/>
    <w:rsid w:val="0058224F"/>
    <w:rsid w:val="00586038"/>
    <w:rsid w:val="00595772"/>
    <w:rsid w:val="005B16B5"/>
    <w:rsid w:val="005D37D1"/>
    <w:rsid w:val="005D4BB0"/>
    <w:rsid w:val="005E31AB"/>
    <w:rsid w:val="0063793C"/>
    <w:rsid w:val="006B59EA"/>
    <w:rsid w:val="006C0C48"/>
    <w:rsid w:val="006D0C93"/>
    <w:rsid w:val="006D48FD"/>
    <w:rsid w:val="006F6899"/>
    <w:rsid w:val="007009C8"/>
    <w:rsid w:val="00701714"/>
    <w:rsid w:val="00746452"/>
    <w:rsid w:val="00767415"/>
    <w:rsid w:val="0077393B"/>
    <w:rsid w:val="0077394F"/>
    <w:rsid w:val="00787F9E"/>
    <w:rsid w:val="007D212C"/>
    <w:rsid w:val="0080489F"/>
    <w:rsid w:val="00805AA1"/>
    <w:rsid w:val="00807853"/>
    <w:rsid w:val="00812AE9"/>
    <w:rsid w:val="00815B4A"/>
    <w:rsid w:val="00837AA5"/>
    <w:rsid w:val="0087387B"/>
    <w:rsid w:val="008915D6"/>
    <w:rsid w:val="00895534"/>
    <w:rsid w:val="008A39F1"/>
    <w:rsid w:val="008D3B0E"/>
    <w:rsid w:val="008F398F"/>
    <w:rsid w:val="00912603"/>
    <w:rsid w:val="0096252F"/>
    <w:rsid w:val="00965172"/>
    <w:rsid w:val="009A3A56"/>
    <w:rsid w:val="009B7E83"/>
    <w:rsid w:val="009C367D"/>
    <w:rsid w:val="00A10DBC"/>
    <w:rsid w:val="00A225A0"/>
    <w:rsid w:val="00A361B3"/>
    <w:rsid w:val="00A64B1D"/>
    <w:rsid w:val="00A74A81"/>
    <w:rsid w:val="00A903FB"/>
    <w:rsid w:val="00AA76B8"/>
    <w:rsid w:val="00AB24C3"/>
    <w:rsid w:val="00B11CFE"/>
    <w:rsid w:val="00B25483"/>
    <w:rsid w:val="00B753AD"/>
    <w:rsid w:val="00C07EF0"/>
    <w:rsid w:val="00C63ECF"/>
    <w:rsid w:val="00C762C7"/>
    <w:rsid w:val="00CC186D"/>
    <w:rsid w:val="00CC1BC6"/>
    <w:rsid w:val="00CC25DB"/>
    <w:rsid w:val="00CF7F3D"/>
    <w:rsid w:val="00D0568C"/>
    <w:rsid w:val="00D14AF9"/>
    <w:rsid w:val="00D22874"/>
    <w:rsid w:val="00D22F28"/>
    <w:rsid w:val="00D30B41"/>
    <w:rsid w:val="00D36862"/>
    <w:rsid w:val="00D41718"/>
    <w:rsid w:val="00D47D66"/>
    <w:rsid w:val="00D935F3"/>
    <w:rsid w:val="00DC631B"/>
    <w:rsid w:val="00DD7407"/>
    <w:rsid w:val="00DF330D"/>
    <w:rsid w:val="00DF674A"/>
    <w:rsid w:val="00E51144"/>
    <w:rsid w:val="00F3503B"/>
    <w:rsid w:val="00F5353B"/>
    <w:rsid w:val="00F54387"/>
    <w:rsid w:val="00F8680C"/>
    <w:rsid w:val="00F958BC"/>
    <w:rsid w:val="00FE1F0E"/>
    <w:rsid w:val="00FE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3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0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84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8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0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4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21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4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6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1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1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83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ethecu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lgillard</dc:creator>
  <cp:lastModifiedBy>lgillard</cp:lastModifiedBy>
  <cp:revision>2</cp:revision>
  <dcterms:created xsi:type="dcterms:W3CDTF">2016-08-24T14:42:00Z</dcterms:created>
  <dcterms:modified xsi:type="dcterms:W3CDTF">2016-08-24T14:42:00Z</dcterms:modified>
</cp:coreProperties>
</file>