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drawing>
          <wp:inline distT="0" distB="0" distL="0" distR="0">
            <wp:extent cx="4572000" cy="1704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572000" cy="1704975"/>
                    </a:xfrm>
                    <a:prstGeom prst="rect">
                      <a:avLst/>
                    </a:prstGeom>
                  </pic:spPr>
                </pic:pic>
              </a:graphicData>
            </a:graphic>
          </wp:inline>
        </w:drawing>
      </w:r>
    </w:p>
    <w:p>
      <w:pPr>
        <w:spacing w:after="40"/>
        <w:jc w:val="center"/>
      </w:pPr>
      <w:r>
        <w:rPr>
          <w:b/>
          <w:bCs/>
          <w:color w:val="2A1A12"/>
          <w:sz w:val="30"/>
          <w:szCs w:val="30"/>
        </w:rPr>
        <w:t xml:space="preserve">SPONSORSHIP PROSPECTUS</w:t>
      </w:r>
    </w:p>
    <w:p>
      <w:pPr>
        <w:spacing w:after="300"/>
        <w:jc w:val="center"/>
      </w:pPr>
      <w:r>
        <w:rPr>
          <w:i/>
          <w:iCs/>
          <w:color w:val="6B4A38"/>
          <w:sz w:val="20"/>
          <w:szCs w:val="20"/>
        </w:rPr>
        <w:t xml:space="preserve">Presented by The Distance Agency</w:t>
      </w:r>
    </w:p>
    <w:p>
      <w:pPr>
        <w:pStyle w:val="Heading1"/>
        <w:spacing w:after="120" w:before="260"/>
      </w:pPr>
      <w:r>
        <w:rPr>
          <w:b/>
          <w:bCs/>
          <w:color w:val="2A1A12"/>
          <w:sz w:val="26"/>
          <w:szCs w:val="26"/>
        </w:rPr>
        <w:t xml:space="preserve">What Is This About</w:t>
      </w:r>
    </w:p>
    <w:p>
      <w:pPr>
        <w:spacing w:after="160" w:line="276"/>
      </w:pPr>
      <w:r>
        <w:rPr>
          <w:sz w:val="21"/>
          <w:szCs w:val="21"/>
        </w:rPr>
        <w:t xml:space="preserve">The This Life Tour is a 21-day run by country/rock artist Trae Myers, taking his band from Columbus, Ohio down through Kentucky, Tennessee, Georgia, and Florida and back, with 21 full band shows and 9 acoustic daytime sets along the way. The tour is a celebration of what the title says, the love and grind of building a life around music, family, and the people who make it worth doing, timed right as Trae heads into marriage and continues raising his daughters.</w:t>
      </w:r>
    </w:p>
    <w:p>
      <w:pPr>
        <w:spacing w:after="160" w:line="276"/>
      </w:pPr>
      <w:r>
        <w:rPr>
          <w:sz w:val="21"/>
          <w:szCs w:val="21"/>
        </w:rPr>
        <w:t xml:space="preserve">Across the full run, the tour reaches an estimated 5,000 live attendees, plus Trae's existing following of over 30,000 on Instagram and almost 8,000 monthly Spotify listeners, giving sponsors real face time with a built-in country/Americana audience alongside consistent digital visibility throughout the tour. Sponsors get logo placement across tour marketing and signage, social content throughout the run, and for top-tier partners, on-stage product visibility and food/drink partnerships at venues along the way.</w:t>
      </w:r>
    </w:p>
    <w:p>
      <w:pPr>
        <w:pStyle w:val="Heading1"/>
        <w:spacing w:after="120" w:before="260"/>
      </w:pPr>
      <w:r>
        <w:rPr>
          <w:b/>
          <w:bCs/>
          <w:color w:val="2A1A12"/>
          <w:sz w:val="26"/>
          <w:szCs w:val="26"/>
        </w:rPr>
        <w:t xml:space="preserve">About Trae Myers</w:t>
      </w:r>
    </w:p>
    <w:p>
      <w:pPr>
        <w:spacing w:after="160" w:line="276"/>
      </w:pPr>
      <w:r>
        <w:rPr>
          <w:sz w:val="20"/>
          <w:szCs w:val="20"/>
        </w:rPr>
        <w:t xml:space="preserve">Trae Myers is a country/rock artist who gained strong attention with his single "Bad," which resonated widely with listeners and became a standout release in his catalog. He has opened for and shared the stage with artists including Kane Brown, Chase Rice, Russell Dickerson, Kip Moore, and Chris Young, continuing to build momentum through live performances and new releases. Trae delivers high-energy, emotionally driven performances that connect instantly with audiences, performing both solo acoustic and full band sets that adapt seamlessly to intimate venues, festivals, and high-energy stages. Known for strong stage presence and relatable songwriting, he creates a memorable live experience from start to finish. Offstage, Trae is preparing to get married and is a devoted father to his daughters, the people he points to as the reason behind everything he does, themes that sit at the center of The This Life Tour itself. That mix of grit and heart is what fans connect with, and what makes this tour a natural fit for brands that want to be part of a genuine, growing story rather than just a logo placement.</w:t>
      </w:r>
    </w:p>
    <w:p>
      <w:pPr>
        <w:pStyle w:val="Heading1"/>
        <w:spacing w:after="120" w:before="260"/>
      </w:pPr>
      <w:r>
        <w:rPr>
          <w:b/>
          <w:bCs/>
          <w:color w:val="2A1A12"/>
          <w:sz w:val="26"/>
          <w:szCs w:val="26"/>
        </w:rPr>
        <w:t xml:space="preserve">Tour Snapshot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2A1A12" w:color="auto" w:val="clear"/>
            <w:tcMar>
              <w:top w:type="dxa" w:w="100"/>
              <w:left w:type="dxa" w:w="120"/>
              <w:bottom w:type="dxa" w:w="100"/>
              <w:right w:type="dxa" w:w="120"/>
            </w:tcMar>
          </w:tcPr>
          <w:p>
            <w:pPr>
              <w:jc w:val="left"/>
            </w:pPr>
            <w:r>
              <w:rPr>
                <w:b/>
                <w:bCs/>
                <w:sz w:val="19"/>
                <w:szCs w:val="19"/>
              </w:rPr>
              <w:t xml:space="preserve">Detail</w:t>
            </w:r>
          </w:p>
        </w:tc>
        <w:tc>
          <w:tcPr>
            <w:tcW w:type="dxa" w:w="6160"/>
            <w:shd w:fill="2A1A12" w:color="auto" w:val="clear"/>
            <w:tcMar>
              <w:top w:type="dxa" w:w="100"/>
              <w:left w:type="dxa" w:w="120"/>
              <w:bottom w:type="dxa" w:w="100"/>
              <w:right w:type="dxa" w:w="120"/>
            </w:tcMar>
          </w:tcPr>
          <w:p>
            <w:pPr>
              <w:jc w:val="center"/>
            </w:pPr>
            <w:r>
              <w:rPr>
                <w:b/>
                <w:bCs/>
                <w:sz w:val="19"/>
                <w:szCs w:val="19"/>
              </w:rPr>
              <w:t xml:space="preserve">Info</w:t>
            </w:r>
          </w:p>
        </w:tc>
      </w:tr>
      <w:tr>
        <w:tc>
          <w:tcPr>
            <w:tcW w:type="dxa" w:w="3200"/>
            <w:shd w:fill="FFFFFF" w:color="auto" w:val="clear"/>
            <w:tcMar>
              <w:top w:type="dxa" w:w="100"/>
              <w:left w:type="dxa" w:w="120"/>
              <w:bottom w:type="dxa" w:w="100"/>
              <w:right w:type="dxa" w:w="120"/>
            </w:tcMar>
          </w:tcPr>
          <w:p>
            <w:pPr>
              <w:jc w:val="left"/>
            </w:pPr>
            <w:r>
              <w:rPr>
                <w:b w:val="false"/>
                <w:bCs w:val="false"/>
                <w:sz w:val="19"/>
                <w:szCs w:val="19"/>
              </w:rPr>
              <w:t xml:space="preserve">Tour dates</w:t>
            </w:r>
          </w:p>
        </w:tc>
        <w:tc>
          <w:tcPr>
            <w:tcW w:type="dxa" w:w="6160"/>
            <w:shd w:fill="FFFFFF" w:color="auto" w:val="clear"/>
            <w:tcMar>
              <w:top w:type="dxa" w:w="100"/>
              <w:left w:type="dxa" w:w="120"/>
              <w:bottom w:type="dxa" w:w="100"/>
              <w:right w:type="dxa" w:w="120"/>
            </w:tcMar>
          </w:tcPr>
          <w:p>
            <w:pPr>
              <w:jc w:val="center"/>
            </w:pPr>
            <w:r>
              <w:rPr>
                <w:b w:val="false"/>
                <w:bCs w:val="false"/>
                <w:sz w:val="19"/>
                <w:szCs w:val="19"/>
              </w:rPr>
              <w:t xml:space="preserve">March 1 - March 21, 2027</w:t>
            </w:r>
          </w:p>
        </w:tc>
      </w:tr>
      <w:tr>
        <w:tc>
          <w:tcPr>
            <w:tcW w:type="dxa" w:w="3200"/>
            <w:shd w:fill="F2E6DA" w:color="auto" w:val="clear"/>
            <w:tcMar>
              <w:top w:type="dxa" w:w="100"/>
              <w:left w:type="dxa" w:w="120"/>
              <w:bottom w:type="dxa" w:w="100"/>
              <w:right w:type="dxa" w:w="120"/>
            </w:tcMar>
          </w:tcPr>
          <w:p>
            <w:pPr>
              <w:jc w:val="left"/>
            </w:pPr>
            <w:r>
              <w:rPr>
                <w:b w:val="false"/>
                <w:bCs w:val="false"/>
                <w:sz w:val="19"/>
                <w:szCs w:val="19"/>
              </w:rPr>
              <w:t xml:space="preserve">Route</w:t>
            </w:r>
          </w:p>
        </w:tc>
        <w:tc>
          <w:tcPr>
            <w:tcW w:type="dxa" w:w="6160"/>
            <w:shd w:fill="F2E6DA" w:color="auto" w:val="clear"/>
            <w:tcMar>
              <w:top w:type="dxa" w:w="100"/>
              <w:left w:type="dxa" w:w="120"/>
              <w:bottom w:type="dxa" w:w="100"/>
              <w:right w:type="dxa" w:w="120"/>
            </w:tcMar>
          </w:tcPr>
          <w:p>
            <w:pPr>
              <w:jc w:val="center"/>
            </w:pPr>
            <w:r>
              <w:rPr>
                <w:b w:val="false"/>
                <w:bCs w:val="false"/>
                <w:sz w:val="19"/>
                <w:szCs w:val="19"/>
              </w:rPr>
              <w:t xml:space="preserve">Columbus OH -&gt; KY -&gt; TN -&gt; GA -&gt; FL -&gt; back through GA/NC/WV/OH to Columbus</w:t>
            </w:r>
          </w:p>
        </w:tc>
      </w:tr>
      <w:tr>
        <w:tc>
          <w:tcPr>
            <w:tcW w:type="dxa" w:w="3200"/>
            <w:shd w:fill="FFFFFF" w:color="auto" w:val="clear"/>
            <w:tcMar>
              <w:top w:type="dxa" w:w="100"/>
              <w:left w:type="dxa" w:w="120"/>
              <w:bottom w:type="dxa" w:w="100"/>
              <w:right w:type="dxa" w:w="120"/>
            </w:tcMar>
          </w:tcPr>
          <w:p>
            <w:pPr>
              <w:jc w:val="left"/>
            </w:pPr>
            <w:r>
              <w:rPr>
                <w:b w:val="false"/>
                <w:bCs w:val="false"/>
                <w:sz w:val="19"/>
                <w:szCs w:val="19"/>
              </w:rPr>
              <w:t xml:space="preserve">Total shows</w:t>
            </w:r>
          </w:p>
        </w:tc>
        <w:tc>
          <w:tcPr>
            <w:tcW w:type="dxa" w:w="6160"/>
            <w:shd w:fill="FFFFFF" w:color="auto" w:val="clear"/>
            <w:tcMar>
              <w:top w:type="dxa" w:w="100"/>
              <w:left w:type="dxa" w:w="120"/>
              <w:bottom w:type="dxa" w:w="100"/>
              <w:right w:type="dxa" w:w="120"/>
            </w:tcMar>
          </w:tcPr>
          <w:p>
            <w:pPr>
              <w:jc w:val="center"/>
            </w:pPr>
            <w:r>
              <w:rPr>
                <w:b w:val="false"/>
                <w:bCs w:val="false"/>
                <w:sz w:val="19"/>
                <w:szCs w:val="19"/>
              </w:rPr>
              <w:t xml:space="preserve">30 (21 full band night shows + 9 acoustic daytime sets)</w:t>
            </w:r>
          </w:p>
        </w:tc>
      </w:tr>
      <w:tr>
        <w:tc>
          <w:tcPr>
            <w:tcW w:type="dxa" w:w="3200"/>
            <w:shd w:fill="F2E6DA" w:color="auto" w:val="clear"/>
            <w:tcMar>
              <w:top w:type="dxa" w:w="100"/>
              <w:left w:type="dxa" w:w="120"/>
              <w:bottom w:type="dxa" w:w="100"/>
              <w:right w:type="dxa" w:w="120"/>
            </w:tcMar>
          </w:tcPr>
          <w:p>
            <w:pPr>
              <w:jc w:val="left"/>
            </w:pPr>
            <w:r>
              <w:rPr>
                <w:b w:val="false"/>
                <w:bCs w:val="false"/>
                <w:sz w:val="19"/>
                <w:szCs w:val="19"/>
              </w:rPr>
              <w:t xml:space="preserve">Estimated live attendance</w:t>
            </w:r>
          </w:p>
        </w:tc>
        <w:tc>
          <w:tcPr>
            <w:tcW w:type="dxa" w:w="6160"/>
            <w:shd w:fill="F2E6DA" w:color="auto" w:val="clear"/>
            <w:tcMar>
              <w:top w:type="dxa" w:w="100"/>
              <w:left w:type="dxa" w:w="120"/>
              <w:bottom w:type="dxa" w:w="100"/>
              <w:right w:type="dxa" w:w="120"/>
            </w:tcMar>
          </w:tcPr>
          <w:p>
            <w:pPr>
              <w:jc w:val="center"/>
            </w:pPr>
            <w:r>
              <w:rPr>
                <w:b w:val="false"/>
                <w:bCs w:val="false"/>
                <w:sz w:val="19"/>
                <w:szCs w:val="19"/>
              </w:rPr>
              <w:t xml:space="preserve">~5,000 across the tour</w:t>
            </w:r>
          </w:p>
        </w:tc>
      </w:tr>
      <w:tr>
        <w:tc>
          <w:tcPr>
            <w:tcW w:type="dxa" w:w="3200"/>
            <w:shd w:fill="FFFFFF" w:color="auto" w:val="clear"/>
            <w:tcMar>
              <w:top w:type="dxa" w:w="100"/>
              <w:left w:type="dxa" w:w="120"/>
              <w:bottom w:type="dxa" w:w="100"/>
              <w:right w:type="dxa" w:w="120"/>
            </w:tcMar>
          </w:tcPr>
          <w:p>
            <w:pPr>
              <w:jc w:val="left"/>
            </w:pPr>
            <w:r>
              <w:rPr>
                <w:b w:val="false"/>
                <w:bCs w:val="false"/>
                <w:sz w:val="19"/>
                <w:szCs w:val="19"/>
              </w:rPr>
              <w:t xml:space="preserve">Instagram following</w:t>
            </w:r>
          </w:p>
        </w:tc>
        <w:tc>
          <w:tcPr>
            <w:tcW w:type="dxa" w:w="6160"/>
            <w:shd w:fill="FFFFFF" w:color="auto" w:val="clear"/>
            <w:tcMar>
              <w:top w:type="dxa" w:w="100"/>
              <w:left w:type="dxa" w:w="120"/>
              <w:bottom w:type="dxa" w:w="100"/>
              <w:right w:type="dxa" w:w="120"/>
            </w:tcMar>
          </w:tcPr>
          <w:p>
            <w:pPr>
              <w:jc w:val="center"/>
            </w:pPr>
            <w:r>
              <w:rPr>
                <w:b w:val="false"/>
                <w:bCs w:val="false"/>
                <w:sz w:val="19"/>
                <w:szCs w:val="19"/>
              </w:rPr>
              <w:t xml:space="preserve">Over 30,000</w:t>
            </w:r>
          </w:p>
        </w:tc>
      </w:tr>
      <w:tr>
        <w:tc>
          <w:tcPr>
            <w:tcW w:type="dxa" w:w="3200"/>
            <w:shd w:fill="F2E6DA" w:color="auto" w:val="clear"/>
            <w:tcMar>
              <w:top w:type="dxa" w:w="100"/>
              <w:left w:type="dxa" w:w="120"/>
              <w:bottom w:type="dxa" w:w="100"/>
              <w:right w:type="dxa" w:w="120"/>
            </w:tcMar>
          </w:tcPr>
          <w:p>
            <w:pPr>
              <w:jc w:val="left"/>
            </w:pPr>
            <w:r>
              <w:rPr>
                <w:b w:val="false"/>
                <w:bCs w:val="false"/>
                <w:sz w:val="19"/>
                <w:szCs w:val="19"/>
              </w:rPr>
              <w:t xml:space="preserve">Spotify monthly listeners</w:t>
            </w:r>
          </w:p>
        </w:tc>
        <w:tc>
          <w:tcPr>
            <w:tcW w:type="dxa" w:w="6160"/>
            <w:shd w:fill="F2E6DA" w:color="auto" w:val="clear"/>
            <w:tcMar>
              <w:top w:type="dxa" w:w="100"/>
              <w:left w:type="dxa" w:w="120"/>
              <w:bottom w:type="dxa" w:w="100"/>
              <w:right w:type="dxa" w:w="120"/>
            </w:tcMar>
          </w:tcPr>
          <w:p>
            <w:pPr>
              <w:jc w:val="center"/>
            </w:pPr>
            <w:r>
              <w:rPr>
                <w:b w:val="false"/>
                <w:bCs w:val="false"/>
                <w:sz w:val="19"/>
                <w:szCs w:val="19"/>
              </w:rPr>
              <w:t xml:space="preserve">Almost 8,000</w:t>
            </w:r>
          </w:p>
        </w:tc>
      </w:tr>
    </w:tbl>
    <w:p>
      <w:pPr>
        <w:spacing w:after="200" w:before="100"/>
      </w:pPr>
      <w:r>
        <w:rPr>
          <w:i/>
          <w:iCs/>
          <w:color w:val="6B4A38"/>
          <w:sz w:val="18"/>
          <w:szCs w:val="18"/>
        </w:rPr>
        <w:t xml:space="preserve">All dates, routing, and venues listed in this document are projected and subject to change. Nothing is finalized yet.</w:t>
      </w:r>
    </w:p>
    <w:p>
      <w:pPr>
        <w:pStyle w:val="Heading1"/>
        <w:spacing w:after="120" w:before="260"/>
      </w:pPr>
      <w:r>
        <w:rPr>
          <w:b/>
          <w:bCs/>
          <w:color w:val="2A1A12"/>
          <w:sz w:val="26"/>
          <w:szCs w:val="26"/>
        </w:rPr>
        <w:t xml:space="preserve">Sponsorship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60"/>
        <w:gridCol w:w="1400"/>
        <w:gridCol w:w="1700"/>
        <w:gridCol w:w="1200"/>
        <w:gridCol w:w="1500"/>
      </w:tblGrid>
      <w:tr>
        <w:tc>
          <w:tcPr>
            <w:tcW w:type="dxa" w:w="3560"/>
            <w:shd w:fill="2A1A12" w:color="auto" w:val="clear"/>
            <w:tcMar>
              <w:top w:type="dxa" w:w="100"/>
              <w:left w:type="dxa" w:w="120"/>
              <w:bottom w:type="dxa" w:w="100"/>
              <w:right w:type="dxa" w:w="120"/>
            </w:tcMar>
          </w:tcPr>
          <w:p>
            <w:pPr>
              <w:jc w:val="left"/>
            </w:pPr>
            <w:r>
              <w:rPr>
                <w:b/>
                <w:bCs/>
                <w:sz w:val="19"/>
                <w:szCs w:val="19"/>
              </w:rPr>
              <w:t xml:space="preserve">Tier</w:t>
            </w:r>
          </w:p>
        </w:tc>
        <w:tc>
          <w:tcPr>
            <w:tcW w:type="dxa" w:w="1400"/>
            <w:shd w:fill="2A1A12" w:color="auto" w:val="clear"/>
            <w:tcMar>
              <w:top w:type="dxa" w:w="100"/>
              <w:left w:type="dxa" w:w="120"/>
              <w:bottom w:type="dxa" w:w="100"/>
              <w:right w:type="dxa" w:w="120"/>
            </w:tcMar>
          </w:tcPr>
          <w:p>
            <w:pPr>
              <w:jc w:val="center"/>
            </w:pPr>
            <w:r>
              <w:rPr>
                <w:b/>
                <w:bCs/>
                <w:sz w:val="19"/>
                <w:szCs w:val="19"/>
              </w:rPr>
              <w:t xml:space="preserve">Price</w:t>
            </w:r>
          </w:p>
        </w:tc>
        <w:tc>
          <w:tcPr>
            <w:tcW w:type="dxa" w:w="1700"/>
            <w:shd w:fill="2A1A12" w:color="auto" w:val="clear"/>
            <w:tcMar>
              <w:top w:type="dxa" w:w="100"/>
              <w:left w:type="dxa" w:w="120"/>
              <w:bottom w:type="dxa" w:w="100"/>
              <w:right w:type="dxa" w:w="120"/>
            </w:tcMar>
          </w:tcPr>
          <w:p>
            <w:pPr>
              <w:jc w:val="center"/>
            </w:pPr>
            <w:r>
              <w:rPr>
                <w:b/>
                <w:bCs/>
                <w:sz w:val="19"/>
                <w:szCs w:val="19"/>
              </w:rPr>
              <w:t xml:space="preserve">Audience</w:t>
            </w:r>
          </w:p>
        </w:tc>
        <w:tc>
          <w:tcPr>
            <w:tcW w:type="dxa" w:w="1200"/>
            <w:shd w:fill="2A1A12" w:color="auto" w:val="clear"/>
            <w:tcMar>
              <w:top w:type="dxa" w:w="100"/>
              <w:left w:type="dxa" w:w="120"/>
              <w:bottom w:type="dxa" w:w="100"/>
              <w:right w:type="dxa" w:w="120"/>
            </w:tcMar>
          </w:tcPr>
          <w:p>
            <w:pPr>
              <w:jc w:val="center"/>
            </w:pPr>
            <w:r>
              <w:rPr>
                <w:b/>
                <w:bCs/>
                <w:sz w:val="19"/>
                <w:szCs w:val="19"/>
              </w:rPr>
              <w:t xml:space="preserve">Slots</w:t>
            </w:r>
          </w:p>
        </w:tc>
        <w:tc>
          <w:tcPr>
            <w:tcW w:type="dxa" w:w="1500"/>
            <w:shd w:fill="2A1A12" w:color="auto" w:val="clear"/>
            <w:tcMar>
              <w:top w:type="dxa" w:w="100"/>
              <w:left w:type="dxa" w:w="120"/>
              <w:bottom w:type="dxa" w:w="100"/>
              <w:right w:type="dxa" w:w="120"/>
            </w:tcMar>
          </w:tcPr>
          <w:p>
            <w:pPr>
              <w:jc w:val="center"/>
            </w:pPr>
            <w:r>
              <w:rPr>
                <w:b/>
                <w:bCs/>
                <w:sz w:val="19"/>
                <w:szCs w:val="19"/>
              </w:rPr>
              <w:t xml:space="preserve">Deadline</w:t>
            </w:r>
          </w:p>
        </w:tc>
      </w:tr>
      <w:tr>
        <w:tc>
          <w:tcPr>
            <w:tcW w:type="dxa" w:w="3560"/>
            <w:shd w:fill="FFFFFF" w:color="auto" w:val="clear"/>
            <w:tcMar>
              <w:top w:type="dxa" w:w="100"/>
              <w:left w:type="dxa" w:w="120"/>
              <w:bottom w:type="dxa" w:w="100"/>
              <w:right w:type="dxa" w:w="120"/>
            </w:tcMar>
          </w:tcPr>
          <w:p>
            <w:pPr>
              <w:jc w:val="left"/>
            </w:pPr>
            <w:r>
              <w:rPr>
                <w:b w:val="false"/>
                <w:bCs w:val="false"/>
                <w:sz w:val="19"/>
                <w:szCs w:val="19"/>
              </w:rPr>
              <w:t xml:space="preserve">Backroad Sponsor</w:t>
            </w:r>
          </w:p>
        </w:tc>
        <w:tc>
          <w:tcPr>
            <w:tcW w:type="dxa" w:w="1400"/>
            <w:shd w:fill="FFFFFF" w:color="auto" w:val="clear"/>
            <w:tcMar>
              <w:top w:type="dxa" w:w="100"/>
              <w:left w:type="dxa" w:w="120"/>
              <w:bottom w:type="dxa" w:w="100"/>
              <w:right w:type="dxa" w:w="120"/>
            </w:tcMar>
          </w:tcPr>
          <w:p>
            <w:pPr>
              <w:jc w:val="center"/>
            </w:pPr>
            <w:r>
              <w:rPr>
                <w:b w:val="false"/>
                <w:bCs w:val="false"/>
                <w:sz w:val="19"/>
                <w:szCs w:val="19"/>
              </w:rPr>
              <w:t xml:space="preserve">$500</w:t>
            </w:r>
          </w:p>
        </w:tc>
        <w:tc>
          <w:tcPr>
            <w:tcW w:type="dxa" w:w="1700"/>
            <w:shd w:fill="FFFFFF" w:color="auto" w:val="clear"/>
            <w:tcMar>
              <w:top w:type="dxa" w:w="100"/>
              <w:left w:type="dxa" w:w="120"/>
              <w:bottom w:type="dxa" w:w="100"/>
              <w:right w:type="dxa" w:w="120"/>
            </w:tcMar>
          </w:tcPr>
          <w:p>
            <w:pPr>
              <w:jc w:val="center"/>
            </w:pPr>
            <w:r>
              <w:rPr>
                <w:b w:val="false"/>
                <w:bCs w:val="false"/>
                <w:sz w:val="19"/>
                <w:szCs w:val="19"/>
              </w:rPr>
              <w:t xml:space="preserve">35,000+</w:t>
            </w:r>
          </w:p>
        </w:tc>
        <w:tc>
          <w:tcPr>
            <w:tcW w:type="dxa" w:w="1200"/>
            <w:shd w:fill="FFFFFF" w:color="auto" w:val="clear"/>
            <w:tcMar>
              <w:top w:type="dxa" w:w="100"/>
              <w:left w:type="dxa" w:w="120"/>
              <w:bottom w:type="dxa" w:w="100"/>
              <w:right w:type="dxa" w:w="120"/>
            </w:tcMar>
          </w:tcPr>
          <w:p>
            <w:pPr>
              <w:jc w:val="center"/>
            </w:pPr>
            <w:r>
              <w:rPr>
                <w:b w:val="false"/>
                <w:bCs w:val="false"/>
                <w:sz w:val="19"/>
                <w:szCs w:val="19"/>
              </w:rPr>
              <w:t xml:space="preserve">10</w:t>
            </w:r>
          </w:p>
        </w:tc>
        <w:tc>
          <w:tcPr>
            <w:tcW w:type="dxa" w:w="1500"/>
            <w:shd w:fill="FFFFFF" w:color="auto" w:val="clear"/>
            <w:tcMar>
              <w:top w:type="dxa" w:w="100"/>
              <w:left w:type="dxa" w:w="120"/>
              <w:bottom w:type="dxa" w:w="100"/>
              <w:right w:type="dxa" w:w="120"/>
            </w:tcMar>
          </w:tcPr>
          <w:p>
            <w:pPr>
              <w:jc w:val="center"/>
            </w:pPr>
            <w:r>
              <w:rPr>
                <w:b w:val="false"/>
                <w:bCs w:val="false"/>
                <w:sz w:val="19"/>
                <w:szCs w:val="19"/>
              </w:rPr>
              <w:t xml:space="preserve">Jan 15, 2027</w:t>
            </w:r>
          </w:p>
        </w:tc>
      </w:tr>
      <w:tr>
        <w:tc>
          <w:tcPr>
            <w:tcW w:type="dxa" w:w="3560"/>
            <w:shd w:fill="F2E6DA" w:color="auto" w:val="clear"/>
            <w:tcMar>
              <w:top w:type="dxa" w:w="100"/>
              <w:left w:type="dxa" w:w="120"/>
              <w:bottom w:type="dxa" w:w="100"/>
              <w:right w:type="dxa" w:w="120"/>
            </w:tcMar>
          </w:tcPr>
          <w:p>
            <w:pPr>
              <w:jc w:val="left"/>
            </w:pPr>
            <w:r>
              <w:rPr>
                <w:b w:val="false"/>
                <w:bCs w:val="false"/>
                <w:sz w:val="19"/>
                <w:szCs w:val="19"/>
              </w:rPr>
              <w:t xml:space="preserve">Highway Sponsor</w:t>
            </w:r>
          </w:p>
        </w:tc>
        <w:tc>
          <w:tcPr>
            <w:tcW w:type="dxa" w:w="1400"/>
            <w:shd w:fill="F2E6DA" w:color="auto" w:val="clear"/>
            <w:tcMar>
              <w:top w:type="dxa" w:w="100"/>
              <w:left w:type="dxa" w:w="120"/>
              <w:bottom w:type="dxa" w:w="100"/>
              <w:right w:type="dxa" w:w="120"/>
            </w:tcMar>
          </w:tcPr>
          <w:p>
            <w:pPr>
              <w:jc w:val="center"/>
            </w:pPr>
            <w:r>
              <w:rPr>
                <w:b w:val="false"/>
                <w:bCs w:val="false"/>
                <w:sz w:val="19"/>
                <w:szCs w:val="19"/>
              </w:rPr>
              <w:t xml:space="preserve">$1,750</w:t>
            </w:r>
          </w:p>
        </w:tc>
        <w:tc>
          <w:tcPr>
            <w:tcW w:type="dxa" w:w="1700"/>
            <w:shd w:fill="F2E6DA" w:color="auto" w:val="clear"/>
            <w:tcMar>
              <w:top w:type="dxa" w:w="100"/>
              <w:left w:type="dxa" w:w="120"/>
              <w:bottom w:type="dxa" w:w="100"/>
              <w:right w:type="dxa" w:w="120"/>
            </w:tcMar>
          </w:tcPr>
          <w:p>
            <w:pPr>
              <w:jc w:val="center"/>
            </w:pPr>
            <w:r>
              <w:rPr>
                <w:b w:val="false"/>
                <w:bCs w:val="false"/>
                <w:sz w:val="19"/>
                <w:szCs w:val="19"/>
              </w:rPr>
              <w:t xml:space="preserve">43,000+</w:t>
            </w:r>
          </w:p>
        </w:tc>
        <w:tc>
          <w:tcPr>
            <w:tcW w:type="dxa" w:w="1200"/>
            <w:shd w:fill="F2E6DA" w:color="auto" w:val="clear"/>
            <w:tcMar>
              <w:top w:type="dxa" w:w="100"/>
              <w:left w:type="dxa" w:w="120"/>
              <w:bottom w:type="dxa" w:w="100"/>
              <w:right w:type="dxa" w:w="120"/>
            </w:tcMar>
          </w:tcPr>
          <w:p>
            <w:pPr>
              <w:jc w:val="center"/>
            </w:pPr>
            <w:r>
              <w:rPr>
                <w:b w:val="false"/>
                <w:bCs w:val="false"/>
                <w:sz w:val="19"/>
                <w:szCs w:val="19"/>
              </w:rPr>
              <w:t xml:space="preserve">8</w:t>
            </w:r>
          </w:p>
        </w:tc>
        <w:tc>
          <w:tcPr>
            <w:tcW w:type="dxa" w:w="1500"/>
            <w:shd w:fill="F2E6DA" w:color="auto" w:val="clear"/>
            <w:tcMar>
              <w:top w:type="dxa" w:w="100"/>
              <w:left w:type="dxa" w:w="120"/>
              <w:bottom w:type="dxa" w:w="100"/>
              <w:right w:type="dxa" w:w="120"/>
            </w:tcMar>
          </w:tcPr>
          <w:p>
            <w:pPr>
              <w:jc w:val="center"/>
            </w:pPr>
            <w:r>
              <w:rPr>
                <w:b w:val="false"/>
                <w:bCs w:val="false"/>
                <w:sz w:val="19"/>
                <w:szCs w:val="19"/>
              </w:rPr>
              <w:t xml:space="preserve">Jan 15, 2027</w:t>
            </w:r>
          </w:p>
        </w:tc>
      </w:tr>
      <w:tr>
        <w:tc>
          <w:tcPr>
            <w:tcW w:type="dxa" w:w="3560"/>
            <w:shd w:fill="FFFFFF" w:color="auto" w:val="clear"/>
            <w:tcMar>
              <w:top w:type="dxa" w:w="100"/>
              <w:left w:type="dxa" w:w="120"/>
              <w:bottom w:type="dxa" w:w="100"/>
              <w:right w:type="dxa" w:w="120"/>
            </w:tcMar>
          </w:tcPr>
          <w:p>
            <w:pPr>
              <w:jc w:val="left"/>
            </w:pPr>
            <w:r>
              <w:rPr>
                <w:b w:val="false"/>
                <w:bCs w:val="false"/>
                <w:sz w:val="19"/>
                <w:szCs w:val="19"/>
              </w:rPr>
              <w:t xml:space="preserve">This Life Headline Sponsor (category exclusive)</w:t>
            </w:r>
          </w:p>
        </w:tc>
        <w:tc>
          <w:tcPr>
            <w:tcW w:type="dxa" w:w="1400"/>
            <w:shd w:fill="FFFFFF" w:color="auto" w:val="clear"/>
            <w:tcMar>
              <w:top w:type="dxa" w:w="100"/>
              <w:left w:type="dxa" w:w="120"/>
              <w:bottom w:type="dxa" w:w="100"/>
              <w:right w:type="dxa" w:w="120"/>
            </w:tcMar>
          </w:tcPr>
          <w:p>
            <w:pPr>
              <w:jc w:val="center"/>
            </w:pPr>
            <w:r>
              <w:rPr>
                <w:b w:val="false"/>
                <w:bCs w:val="false"/>
                <w:sz w:val="19"/>
                <w:szCs w:val="19"/>
              </w:rPr>
              <w:t xml:space="preserve">$7,000</w:t>
            </w:r>
          </w:p>
        </w:tc>
        <w:tc>
          <w:tcPr>
            <w:tcW w:type="dxa" w:w="1700"/>
            <w:shd w:fill="FFFFFF" w:color="auto" w:val="clear"/>
            <w:tcMar>
              <w:top w:type="dxa" w:w="100"/>
              <w:left w:type="dxa" w:w="120"/>
              <w:bottom w:type="dxa" w:w="100"/>
              <w:right w:type="dxa" w:w="120"/>
            </w:tcMar>
          </w:tcPr>
          <w:p>
            <w:pPr>
              <w:jc w:val="center"/>
            </w:pPr>
            <w:r>
              <w:rPr>
                <w:b w:val="false"/>
                <w:bCs w:val="false"/>
                <w:sz w:val="19"/>
                <w:szCs w:val="19"/>
              </w:rPr>
              <w:t xml:space="preserve">43,000+</w:t>
            </w:r>
          </w:p>
        </w:tc>
        <w:tc>
          <w:tcPr>
            <w:tcW w:type="dxa" w:w="1200"/>
            <w:shd w:fill="FFFFFF" w:color="auto" w:val="clear"/>
            <w:tcMar>
              <w:top w:type="dxa" w:w="100"/>
              <w:left w:type="dxa" w:w="120"/>
              <w:bottom w:type="dxa" w:w="100"/>
              <w:right w:type="dxa" w:w="120"/>
            </w:tcMar>
          </w:tcPr>
          <w:p>
            <w:pPr>
              <w:jc w:val="center"/>
            </w:pPr>
            <w:r>
              <w:rPr>
                <w:b w:val="false"/>
                <w:bCs w:val="false"/>
                <w:sz w:val="19"/>
                <w:szCs w:val="19"/>
              </w:rPr>
              <w:t xml:space="preserve">2</w:t>
            </w:r>
          </w:p>
        </w:tc>
        <w:tc>
          <w:tcPr>
            <w:tcW w:type="dxa" w:w="1500"/>
            <w:shd w:fill="FFFFFF" w:color="auto" w:val="clear"/>
            <w:tcMar>
              <w:top w:type="dxa" w:w="100"/>
              <w:left w:type="dxa" w:w="120"/>
              <w:bottom w:type="dxa" w:w="100"/>
              <w:right w:type="dxa" w:w="120"/>
            </w:tcMar>
          </w:tcPr>
          <w:p>
            <w:pPr>
              <w:jc w:val="center"/>
            </w:pPr>
            <w:r>
              <w:rPr>
                <w:b w:val="false"/>
                <w:bCs w:val="false"/>
                <w:sz w:val="19"/>
                <w:szCs w:val="19"/>
              </w:rPr>
              <w:t xml:space="preserve">Jan 15, 2027</w:t>
            </w:r>
          </w:p>
        </w:tc>
      </w:tr>
    </w:tbl>
    <w:p>
      <w:pPr>
        <w:keepNext/>
        <w:spacing w:after="80" w:before="180"/>
      </w:pPr>
      <w:r>
        <w:rPr>
          <w:b/>
          <w:bCs/>
          <w:sz w:val="20"/>
          <w:szCs w:val="20"/>
        </w:rPr>
        <w:t xml:space="preserve">Backroad Sponsor includes:</w:t>
      </w:r>
    </w:p>
    <w:p>
      <w:pPr>
        <w:keepLines/>
        <w:spacing w:after="160" w:line="276"/>
      </w:pPr>
      <w:r>
        <w:rPr>
          <w:sz w:val="20"/>
          <w:szCs w:val="20"/>
        </w:rPr>
        <w:t xml:space="preserve">Logo on tour poster and digital marketing, logo in 1 tour announcement Instagram post, name listed on tour webpage.</w:t>
      </w:r>
    </w:p>
    <w:p>
      <w:pPr>
        <w:keepNext/>
        <w:spacing w:after="80" w:before="100"/>
      </w:pPr>
      <w:r>
        <w:rPr>
          <w:b/>
          <w:bCs/>
          <w:sz w:val="20"/>
          <w:szCs w:val="20"/>
        </w:rPr>
        <w:t xml:space="preserve">Highway Sponsor includes:</w:t>
      </w:r>
    </w:p>
    <w:p>
      <w:pPr>
        <w:keepLines/>
        <w:spacing w:after="160" w:line="276"/>
      </w:pPr>
      <w:r>
        <w:rPr>
          <w:sz w:val="20"/>
          <w:szCs w:val="20"/>
        </w:rPr>
        <w:t xml:space="preserve">Everything in Backroad, plus logo on all 30 show-day social graphics, banner/signage at the 7 anchor venues, stage shoutout at anchor shows, inclusion in behind-the-scenes tour content, and Spotify profile bio link/logo.</w:t>
      </w:r>
    </w:p>
    <w:p>
      <w:pPr>
        <w:keepNext/>
        <w:spacing w:after="80" w:before="100"/>
      </w:pPr>
      <w:r>
        <w:rPr>
          <w:b/>
          <w:bCs/>
          <w:sz w:val="20"/>
          <w:szCs w:val="20"/>
        </w:rPr>
        <w:t xml:space="preserve">This Life Headline Sponsor includes:</w:t>
      </w:r>
    </w:p>
    <w:p>
      <w:pPr>
        <w:keepLines/>
        <w:spacing w:after="160" w:line="276"/>
      </w:pPr>
      <w:r>
        <w:rPr>
          <w:sz w:val="20"/>
          <w:szCs w:val="20"/>
        </w:rPr>
        <w:t xml:space="preserve">Everything in Highway, plus Trae and the band visibly using the branded product on stage at all 30 shows, venue food/drink partnership at all 21 full band shows, logo on the official tour key art, full category exclusivity, 5 dedicated Instagram posts plus 3 reels featuring the product, and Spotify cover/promo art placement.</w:t>
      </w:r>
    </w:p>
    <w:p>
      <w:pPr>
        <w:pStyle w:val="Heading1"/>
        <w:spacing w:after="120" w:before="260"/>
      </w:pPr>
      <w:r>
        <w:rPr>
          <w:b/>
          <w:bCs/>
          <w:color w:val="2A1A12"/>
          <w:sz w:val="26"/>
          <w:szCs w:val="26"/>
        </w:rPr>
        <w:t xml:space="preserve">A La Carte Add-Ons</w:t>
      </w:r>
    </w:p>
    <w:p>
      <w:pPr>
        <w:spacing w:after="160" w:line="276"/>
      </w:pPr>
      <w:r>
        <w:rPr>
          <w:sz w:val="20"/>
          <w:szCs w:val="20"/>
        </w:rPr>
        <w:t xml:space="preserve">For sponsors who want a specific, lower-commitment placement rather than a full tier.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1400"/>
        <w:gridCol w:w="1200"/>
        <w:gridCol w:w="2200"/>
      </w:tblGrid>
      <w:tr>
        <w:tc>
          <w:tcPr>
            <w:tcW w:type="dxa" w:w="4560"/>
            <w:shd w:fill="2A1A12" w:color="auto" w:val="clear"/>
            <w:tcMar>
              <w:top w:type="dxa" w:w="100"/>
              <w:left w:type="dxa" w:w="120"/>
              <w:bottom w:type="dxa" w:w="100"/>
              <w:right w:type="dxa" w:w="120"/>
            </w:tcMar>
          </w:tcPr>
          <w:p>
            <w:pPr>
              <w:jc w:val="left"/>
            </w:pPr>
            <w:r>
              <w:rPr>
                <w:b/>
                <w:bCs/>
                <w:sz w:val="19"/>
                <w:szCs w:val="19"/>
              </w:rPr>
              <w:t xml:space="preserve">Item</w:t>
            </w:r>
          </w:p>
        </w:tc>
        <w:tc>
          <w:tcPr>
            <w:tcW w:type="dxa" w:w="1400"/>
            <w:shd w:fill="2A1A12" w:color="auto" w:val="clear"/>
            <w:tcMar>
              <w:top w:type="dxa" w:w="100"/>
              <w:left w:type="dxa" w:w="120"/>
              <w:bottom w:type="dxa" w:w="100"/>
              <w:right w:type="dxa" w:w="120"/>
            </w:tcMar>
          </w:tcPr>
          <w:p>
            <w:pPr>
              <w:jc w:val="center"/>
            </w:pPr>
            <w:r>
              <w:rPr>
                <w:b/>
                <w:bCs/>
                <w:sz w:val="19"/>
                <w:szCs w:val="19"/>
              </w:rPr>
              <w:t xml:space="preserve">Price</w:t>
            </w:r>
          </w:p>
        </w:tc>
        <w:tc>
          <w:tcPr>
            <w:tcW w:type="dxa" w:w="1200"/>
            <w:shd w:fill="2A1A12" w:color="auto" w:val="clear"/>
            <w:tcMar>
              <w:top w:type="dxa" w:w="100"/>
              <w:left w:type="dxa" w:w="120"/>
              <w:bottom w:type="dxa" w:w="100"/>
              <w:right w:type="dxa" w:w="120"/>
            </w:tcMar>
          </w:tcPr>
          <w:p>
            <w:pPr>
              <w:jc w:val="center"/>
            </w:pPr>
            <w:r>
              <w:rPr>
                <w:b/>
                <w:bCs/>
                <w:sz w:val="19"/>
                <w:szCs w:val="19"/>
              </w:rPr>
              <w:t xml:space="preserve">Slots</w:t>
            </w:r>
          </w:p>
        </w:tc>
        <w:tc>
          <w:tcPr>
            <w:tcW w:type="dxa" w:w="2200"/>
            <w:shd w:fill="2A1A12" w:color="auto" w:val="clear"/>
            <w:tcMar>
              <w:top w:type="dxa" w:w="100"/>
              <w:left w:type="dxa" w:w="120"/>
              <w:bottom w:type="dxa" w:w="100"/>
              <w:right w:type="dxa" w:w="120"/>
            </w:tcMar>
          </w:tcPr>
          <w:p>
            <w:pPr>
              <w:jc w:val="center"/>
            </w:pPr>
            <w:r>
              <w:rPr>
                <w:b/>
                <w:bCs/>
                <w:sz w:val="19"/>
                <w:szCs w:val="19"/>
              </w:rPr>
              <w:t xml:space="preserve">Audience</w:t>
            </w:r>
          </w:p>
        </w:tc>
      </w:tr>
      <w:tr>
        <w:tc>
          <w:tcPr>
            <w:tcW w:type="dxa" w:w="4560"/>
            <w:shd w:fill="FFFFFF" w:color="auto" w:val="clear"/>
            <w:tcMar>
              <w:top w:type="dxa" w:w="100"/>
              <w:left w:type="dxa" w:w="120"/>
              <w:bottom w:type="dxa" w:w="100"/>
              <w:right w:type="dxa" w:w="120"/>
            </w:tcMar>
          </w:tcPr>
          <w:p>
            <w:pPr>
              <w:jc w:val="left"/>
            </w:pPr>
            <w:r>
              <w:rPr>
                <w:b w:val="false"/>
                <w:bCs w:val="false"/>
                <w:sz w:val="19"/>
                <w:szCs w:val="19"/>
              </w:rPr>
              <w:t xml:space="preserve">On-stage product placement (single show)</w:t>
            </w:r>
          </w:p>
        </w:tc>
        <w:tc>
          <w:tcPr>
            <w:tcW w:type="dxa" w:w="1400"/>
            <w:shd w:fill="FFFFFF" w:color="auto" w:val="clear"/>
            <w:tcMar>
              <w:top w:type="dxa" w:w="100"/>
              <w:left w:type="dxa" w:w="120"/>
              <w:bottom w:type="dxa" w:w="100"/>
              <w:right w:type="dxa" w:w="120"/>
            </w:tcMar>
          </w:tcPr>
          <w:p>
            <w:pPr>
              <w:jc w:val="center"/>
            </w:pPr>
            <w:r>
              <w:rPr>
                <w:b w:val="false"/>
                <w:bCs w:val="false"/>
                <w:sz w:val="19"/>
                <w:szCs w:val="19"/>
              </w:rPr>
              <w:t xml:space="preserve">$200</w:t>
            </w:r>
          </w:p>
        </w:tc>
        <w:tc>
          <w:tcPr>
            <w:tcW w:type="dxa" w:w="1200"/>
            <w:shd w:fill="FFFFFF" w:color="auto" w:val="clear"/>
            <w:tcMar>
              <w:top w:type="dxa" w:w="100"/>
              <w:left w:type="dxa" w:w="120"/>
              <w:bottom w:type="dxa" w:w="100"/>
              <w:right w:type="dxa" w:w="120"/>
            </w:tcMar>
          </w:tcPr>
          <w:p>
            <w:pPr>
              <w:jc w:val="center"/>
            </w:pPr>
            <w:r>
              <w:rPr>
                <w:b w:val="false"/>
                <w:bCs w:val="false"/>
                <w:sz w:val="19"/>
                <w:szCs w:val="19"/>
              </w:rPr>
              <w:t xml:space="preserve">10</w:t>
            </w:r>
          </w:p>
        </w:tc>
        <w:tc>
          <w:tcPr>
            <w:tcW w:type="dxa" w:w="2200"/>
            <w:shd w:fill="FFFFFF" w:color="auto" w:val="clear"/>
            <w:tcMar>
              <w:top w:type="dxa" w:w="100"/>
              <w:left w:type="dxa" w:w="120"/>
              <w:bottom w:type="dxa" w:w="100"/>
              <w:right w:type="dxa" w:w="120"/>
            </w:tcMar>
          </w:tcPr>
          <w:p>
            <w:pPr>
              <w:jc w:val="center"/>
            </w:pPr>
            <w:r>
              <w:rPr>
                <w:b w:val="false"/>
                <w:bCs w:val="false"/>
                <w:sz w:val="19"/>
                <w:szCs w:val="19"/>
              </w:rPr>
              <w:t xml:space="preserve">100-300</w:t>
            </w:r>
          </w:p>
        </w:tc>
      </w:tr>
      <w:tr>
        <w:tc>
          <w:tcPr>
            <w:tcW w:type="dxa" w:w="4560"/>
            <w:shd w:fill="F2E6DA" w:color="auto" w:val="clear"/>
            <w:tcMar>
              <w:top w:type="dxa" w:w="100"/>
              <w:left w:type="dxa" w:w="120"/>
              <w:bottom w:type="dxa" w:w="100"/>
              <w:right w:type="dxa" w:w="120"/>
            </w:tcMar>
          </w:tcPr>
          <w:p>
            <w:pPr>
              <w:jc w:val="left"/>
            </w:pPr>
            <w:r>
              <w:rPr>
                <w:b w:val="false"/>
                <w:bCs w:val="false"/>
                <w:sz w:val="19"/>
                <w:szCs w:val="19"/>
              </w:rPr>
              <w:t xml:space="preserve">Anchor venue banner (single city)</w:t>
            </w:r>
          </w:p>
        </w:tc>
        <w:tc>
          <w:tcPr>
            <w:tcW w:type="dxa" w:w="1400"/>
            <w:shd w:fill="F2E6DA" w:color="auto" w:val="clear"/>
            <w:tcMar>
              <w:top w:type="dxa" w:w="100"/>
              <w:left w:type="dxa" w:w="120"/>
              <w:bottom w:type="dxa" w:w="100"/>
              <w:right w:type="dxa" w:w="120"/>
            </w:tcMar>
          </w:tcPr>
          <w:p>
            <w:pPr>
              <w:jc w:val="center"/>
            </w:pPr>
            <w:r>
              <w:rPr>
                <w:b w:val="false"/>
                <w:bCs w:val="false"/>
                <w:sz w:val="19"/>
                <w:szCs w:val="19"/>
              </w:rPr>
              <w:t xml:space="preserve">$300</w:t>
            </w:r>
          </w:p>
        </w:tc>
        <w:tc>
          <w:tcPr>
            <w:tcW w:type="dxa" w:w="1200"/>
            <w:shd w:fill="F2E6DA" w:color="auto" w:val="clear"/>
            <w:tcMar>
              <w:top w:type="dxa" w:w="100"/>
              <w:left w:type="dxa" w:w="120"/>
              <w:bottom w:type="dxa" w:w="100"/>
              <w:right w:type="dxa" w:w="120"/>
            </w:tcMar>
          </w:tcPr>
          <w:p>
            <w:pPr>
              <w:jc w:val="center"/>
            </w:pPr>
            <w:r>
              <w:rPr>
                <w:b w:val="false"/>
                <w:bCs w:val="false"/>
                <w:sz w:val="19"/>
                <w:szCs w:val="19"/>
              </w:rPr>
              <w:t xml:space="preserve">7</w:t>
            </w:r>
          </w:p>
        </w:tc>
        <w:tc>
          <w:tcPr>
            <w:tcW w:type="dxa" w:w="2200"/>
            <w:shd w:fill="F2E6DA" w:color="auto" w:val="clear"/>
            <w:tcMar>
              <w:top w:type="dxa" w:w="100"/>
              <w:left w:type="dxa" w:w="120"/>
              <w:bottom w:type="dxa" w:w="100"/>
              <w:right w:type="dxa" w:w="120"/>
            </w:tcMar>
          </w:tcPr>
          <w:p>
            <w:pPr>
              <w:jc w:val="center"/>
            </w:pPr>
            <w:r>
              <w:rPr>
                <w:b w:val="false"/>
                <w:bCs w:val="false"/>
                <w:sz w:val="19"/>
                <w:szCs w:val="19"/>
              </w:rPr>
              <w:t xml:space="preserve">250-350</w:t>
            </w:r>
          </w:p>
        </w:tc>
      </w:tr>
      <w:tr>
        <w:tc>
          <w:tcPr>
            <w:tcW w:type="dxa" w:w="4560"/>
            <w:shd w:fill="FFFFFF" w:color="auto" w:val="clear"/>
            <w:tcMar>
              <w:top w:type="dxa" w:w="100"/>
              <w:left w:type="dxa" w:w="120"/>
              <w:bottom w:type="dxa" w:w="100"/>
              <w:right w:type="dxa" w:w="120"/>
            </w:tcMar>
          </w:tcPr>
          <w:p>
            <w:pPr>
              <w:jc w:val="left"/>
            </w:pPr>
            <w:r>
              <w:rPr>
                <w:b w:val="false"/>
                <w:bCs w:val="false"/>
                <w:sz w:val="19"/>
                <w:szCs w:val="19"/>
              </w:rPr>
              <w:t xml:space="preserve">Stage shoutout (single show)</w:t>
            </w:r>
          </w:p>
        </w:tc>
        <w:tc>
          <w:tcPr>
            <w:tcW w:type="dxa" w:w="1400"/>
            <w:shd w:fill="FFFFFF" w:color="auto" w:val="clear"/>
            <w:tcMar>
              <w:top w:type="dxa" w:w="100"/>
              <w:left w:type="dxa" w:w="120"/>
              <w:bottom w:type="dxa" w:w="100"/>
              <w:right w:type="dxa" w:w="120"/>
            </w:tcMar>
          </w:tcPr>
          <w:p>
            <w:pPr>
              <w:jc w:val="center"/>
            </w:pPr>
            <w:r>
              <w:rPr>
                <w:b w:val="false"/>
                <w:bCs w:val="false"/>
                <w:sz w:val="19"/>
                <w:szCs w:val="19"/>
              </w:rPr>
              <w:t xml:space="preserve">$150</w:t>
            </w:r>
          </w:p>
        </w:tc>
        <w:tc>
          <w:tcPr>
            <w:tcW w:type="dxa" w:w="1200"/>
            <w:shd w:fill="FFFFFF" w:color="auto" w:val="clear"/>
            <w:tcMar>
              <w:top w:type="dxa" w:w="100"/>
              <w:left w:type="dxa" w:w="120"/>
              <w:bottom w:type="dxa" w:w="100"/>
              <w:right w:type="dxa" w:w="120"/>
            </w:tcMar>
          </w:tcPr>
          <w:p>
            <w:pPr>
              <w:jc w:val="center"/>
            </w:pPr>
            <w:r>
              <w:rPr>
                <w:b w:val="false"/>
                <w:bCs w:val="false"/>
                <w:sz w:val="19"/>
                <w:szCs w:val="19"/>
              </w:rPr>
              <w:t xml:space="preserve">10</w:t>
            </w:r>
          </w:p>
        </w:tc>
        <w:tc>
          <w:tcPr>
            <w:tcW w:type="dxa" w:w="2200"/>
            <w:shd w:fill="FFFFFF" w:color="auto" w:val="clear"/>
            <w:tcMar>
              <w:top w:type="dxa" w:w="100"/>
              <w:left w:type="dxa" w:w="120"/>
              <w:bottom w:type="dxa" w:w="100"/>
              <w:right w:type="dxa" w:w="120"/>
            </w:tcMar>
          </w:tcPr>
          <w:p>
            <w:pPr>
              <w:jc w:val="center"/>
            </w:pPr>
            <w:r>
              <w:rPr>
                <w:b w:val="false"/>
                <w:bCs w:val="false"/>
                <w:sz w:val="19"/>
                <w:szCs w:val="19"/>
              </w:rPr>
              <w:t xml:space="preserve">100-300</w:t>
            </w:r>
          </w:p>
        </w:tc>
      </w:tr>
      <w:tr>
        <w:tc>
          <w:tcPr>
            <w:tcW w:type="dxa" w:w="4560"/>
            <w:shd w:fill="F2E6DA" w:color="auto" w:val="clear"/>
            <w:tcMar>
              <w:top w:type="dxa" w:w="100"/>
              <w:left w:type="dxa" w:w="120"/>
              <w:bottom w:type="dxa" w:w="100"/>
              <w:right w:type="dxa" w:w="120"/>
            </w:tcMar>
          </w:tcPr>
          <w:p>
            <w:pPr>
              <w:jc w:val="left"/>
            </w:pPr>
            <w:r>
              <w:rPr>
                <w:b w:val="false"/>
                <w:bCs w:val="false"/>
                <w:sz w:val="19"/>
                <w:szCs w:val="19"/>
              </w:rPr>
              <w:t xml:space="preserve">Social Spotlight (digital only)</w:t>
            </w:r>
          </w:p>
        </w:tc>
        <w:tc>
          <w:tcPr>
            <w:tcW w:type="dxa" w:w="1400"/>
            <w:shd w:fill="F2E6DA" w:color="auto" w:val="clear"/>
            <w:tcMar>
              <w:top w:type="dxa" w:w="100"/>
              <w:left w:type="dxa" w:w="120"/>
              <w:bottom w:type="dxa" w:w="100"/>
              <w:right w:type="dxa" w:w="120"/>
            </w:tcMar>
          </w:tcPr>
          <w:p>
            <w:pPr>
              <w:jc w:val="center"/>
            </w:pPr>
            <w:r>
              <w:rPr>
                <w:b w:val="false"/>
                <w:bCs w:val="false"/>
                <w:sz w:val="19"/>
                <w:szCs w:val="19"/>
              </w:rPr>
              <w:t xml:space="preserve">$600</w:t>
            </w:r>
          </w:p>
        </w:tc>
        <w:tc>
          <w:tcPr>
            <w:tcW w:type="dxa" w:w="1200"/>
            <w:shd w:fill="F2E6DA" w:color="auto" w:val="clear"/>
            <w:tcMar>
              <w:top w:type="dxa" w:w="100"/>
              <w:left w:type="dxa" w:w="120"/>
              <w:bottom w:type="dxa" w:w="100"/>
              <w:right w:type="dxa" w:w="120"/>
            </w:tcMar>
          </w:tcPr>
          <w:p>
            <w:pPr>
              <w:jc w:val="center"/>
            </w:pPr>
            <w:r>
              <w:rPr>
                <w:b w:val="false"/>
                <w:bCs w:val="false"/>
                <w:sz w:val="19"/>
                <w:szCs w:val="19"/>
              </w:rPr>
              <w:t xml:space="preserve">10</w:t>
            </w:r>
          </w:p>
        </w:tc>
        <w:tc>
          <w:tcPr>
            <w:tcW w:type="dxa" w:w="2200"/>
            <w:shd w:fill="F2E6DA" w:color="auto" w:val="clear"/>
            <w:tcMar>
              <w:top w:type="dxa" w:w="100"/>
              <w:left w:type="dxa" w:w="120"/>
              <w:bottom w:type="dxa" w:w="100"/>
              <w:right w:type="dxa" w:w="120"/>
            </w:tcMar>
          </w:tcPr>
          <w:p>
            <w:pPr>
              <w:jc w:val="center"/>
            </w:pPr>
            <w:r>
              <w:rPr>
                <w:b w:val="false"/>
                <w:bCs w:val="false"/>
                <w:sz w:val="19"/>
                <w:szCs w:val="19"/>
              </w:rPr>
              <w:t xml:space="preserve">30,000</w:t>
            </w:r>
          </w:p>
        </w:tc>
      </w:tr>
    </w:tbl>
    <w:p>
      <w:pPr>
        <w:pStyle w:val="Heading1"/>
        <w:spacing w:after="120" w:before="260"/>
      </w:pPr>
      <w:r>
        <w:rPr>
          <w:b/>
          <w:bCs/>
          <w:color w:val="2A1A12"/>
          <w:sz w:val="26"/>
          <w:szCs w:val="26"/>
        </w:rPr>
        <w:t xml:space="preserve">Why Sponsor This Tour</w:t>
      </w:r>
    </w:p>
    <w:p>
      <w:pPr>
        <w:spacing w:after="160" w:line="276"/>
      </w:pPr>
      <w:r>
        <w:rPr>
          <w:sz w:val="21"/>
          <w:szCs w:val="21"/>
        </w:rPr>
        <w:t xml:space="preserve">This tour blends real, in-person audience touchpoints across nine markets with consistent, ongoing digital visibility through an artist who is actively growing his following. Sponsors aren't buying a single placement, they're buying a month of continuous presence across live shows, social content, and on-stage integration, at a price point built for regional and emerging brands rather than national touring budgets.</w:t>
      </w:r>
    </w:p>
    <w:p>
      <w:pPr>
        <w:pStyle w:val="Heading1"/>
        <w:spacing w:after="120" w:before="260"/>
      </w:pPr>
      <w:r>
        <w:rPr>
          <w:b/>
          <w:bCs/>
          <w:color w:val="2A1A12"/>
          <w:sz w:val="26"/>
          <w:szCs w:val="26"/>
        </w:rPr>
        <w:t xml:space="preserve">Looking Ahead: A National Tour</w:t>
      </w:r>
    </w:p>
    <w:p>
      <w:pPr>
        <w:spacing w:after="160" w:line="276"/>
      </w:pPr>
      <w:r>
        <w:rPr>
          <w:sz w:val="20"/>
          <w:szCs w:val="20"/>
        </w:rPr>
        <w:t xml:space="preserve">The This Life Tour is being run as a warm-up for a potential national tour as Trae's career continues to build. Sponsors who come on board for This Life Tour get first right of refusal on discounted, premium placement for that national run, meaning early partners lock in both the best available spots and better pricing before the opportunity opens up more broadly.</w:t>
      </w:r>
    </w:p>
    <w:p>
      <w:pPr>
        <w:pStyle w:val="Heading1"/>
        <w:spacing w:after="120" w:before="260"/>
      </w:pPr>
      <w:r>
        <w:rPr>
          <w:b/>
          <w:bCs/>
          <w:color w:val="2A1A12"/>
          <w:sz w:val="26"/>
          <w:szCs w:val="26"/>
        </w:rPr>
        <w:t xml:space="preserve">Live &amp; Behind the Scenes</w:t>
      </w:r>
    </w:p>
    <w:p>
      <w:pPr>
        <w:spacing w:after="160" w:line="276"/>
      </w:pPr>
      <w:r>
        <w:rPr>
          <w:sz w:val="20"/>
          <w:szCs w:val="20"/>
        </w:rPr>
        <w:t xml:space="preserve">A look at Trae on stage and on the road, the energy sponsors' branding will sit alongside.</w:t>
      </w:r>
    </w:p>
    <w:p>
      <w:pPr>
        <w:spacing w:after="200"/>
        <w:jc w:val="center"/>
      </w:pPr>
      <w:r>
        <w:drawing>
          <wp:inline distT="0" distB="0" distL="0" distR="0">
            <wp:extent cx="5524500" cy="3686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24500" cy="3686175"/>
                    </a:xfrm>
                    <a:prstGeom prst="rect">
                      <a:avLst/>
                    </a:prstGeom>
                  </pic:spPr>
                </pic:pic>
              </a:graphicData>
            </a:graphic>
          </wp:inline>
        </w:drawing>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680"/>
          </w:tcPr>
          <w:p>
            <w:pPr>
              <w:jc w:val="center"/>
            </w:pPr>
            <w:r>
              <w:drawing>
                <wp:inline distT="0" distB="0" distL="0" distR="0">
                  <wp:extent cx="2857500" cy="2143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857500" cy="2143125"/>
                          </a:xfrm>
                          <a:prstGeom prst="rect">
                            <a:avLst/>
                          </a:prstGeom>
                        </pic:spPr>
                      </pic:pic>
                    </a:graphicData>
                  </a:graphic>
                </wp:inline>
              </w:drawing>
            </w:r>
          </w:p>
        </w:tc>
        <w:tc>
          <w:tcPr>
            <w:tcW w:type="dxa" w:w="4680"/>
          </w:tcPr>
          <w:p>
            <w:pPr>
              <w:jc w:val="center"/>
            </w:pPr>
            <w:r>
              <w:drawing>
                <wp:inline distT="0" distB="0" distL="0" distR="0">
                  <wp:extent cx="1905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905000" cy="2857500"/>
                          </a:xfrm>
                          <a:prstGeom prst="rect">
                            <a:avLst/>
                          </a:prstGeom>
                        </pic:spPr>
                      </pic:pic>
                    </a:graphicData>
                  </a:graphic>
                </wp:inline>
              </w:drawing>
            </w:r>
          </w:p>
        </w:tc>
      </w:tr>
    </w:tbl>
    <w:p>
      <w:pPr>
        <w:pStyle w:val="Heading1"/>
        <w:spacing w:after="120" w:before="260"/>
      </w:pPr>
      <w:r>
        <w:rPr>
          <w:b/>
          <w:bCs/>
          <w:color w:val="2A1A12"/>
          <w:sz w:val="26"/>
          <w:szCs w:val="26"/>
        </w:rPr>
        <w:t xml:space="preserve">Contact</w:t>
      </w:r>
    </w:p>
    <w:p>
      <w:pPr>
        <w:spacing w:after="160" w:line="276"/>
      </w:pPr>
      <w:r>
        <w:rPr>
          <w:sz w:val="21"/>
          <w:szCs w:val="21"/>
        </w:rPr>
        <w:t xml:space="preserve">The Distance Agency</w:t>
      </w:r>
    </w:p>
    <w:p>
      <w:pPr>
        <w:spacing w:after="160" w:line="276"/>
      </w:pPr>
      <w:r>
        <w:rPr>
          <w:sz w:val="21"/>
          <w:szCs w:val="21"/>
        </w:rPr>
        <w:t xml:space="preserve">Pat Brady, Live Music Manager &amp; Booking Coordinator</w:t>
      </w:r>
    </w:p>
    <w:p>
      <w:pPr>
        <w:spacing w:after="160" w:line="276"/>
      </w:pPr>
      <w:r>
        <w:rPr>
          <w:sz w:val="21"/>
          <w:szCs w:val="21"/>
        </w:rPr>
        <w:t xml:space="preserve">info@thedistanceagency.com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d0f5499a9f306102c3124b1f7172bc34e7a772d.png"/><Relationship Id="rId8" Type="http://schemas.openxmlformats.org/officeDocument/2006/relationships/image" Target="media/0537acd4f2725cb87cb107d28272c89320321596.jpg"/><Relationship Id="rId9" Type="http://schemas.openxmlformats.org/officeDocument/2006/relationships/image" Target="media/6f540b90af367a2ecf297d91c45d62b79935d4bb.jpg"/><Relationship Id="rId10" Type="http://schemas.openxmlformats.org/officeDocument/2006/relationships/image" Target="media/382d9bb414f5c63734170f6c1ccdbedb436cd138.jp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2026-07-15T23:06:22.917Z</dcterms:created>
  <dcterms:modified xsi:type="dcterms:W3CDTF">2026-07-15T23:06:22.917Z</dcterms:modified>
</cp:coreProperties>
</file>

<file path=docProps/custom.xml><?xml version="1.0" encoding="utf-8"?>
<Properties xmlns="http://schemas.openxmlformats.org/officeDocument/2006/custom-properties" xmlns:vt="http://schemas.openxmlformats.org/officeDocument/2006/docPropsVTypes"/>
</file>